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4780" w14:textId="4C5D568B" w:rsidR="006A0C65" w:rsidRPr="006A0C65" w:rsidRDefault="006A0C65" w:rsidP="006A0C65">
      <w:pPr>
        <w:pStyle w:val="Title"/>
        <w:jc w:val="center"/>
        <w:rPr>
          <w:rFonts w:cstheme="majorHAnsi"/>
          <w:lang w:val="en-GB"/>
        </w:rPr>
      </w:pPr>
      <w:r w:rsidRPr="006A0C65">
        <w:rPr>
          <w:rFonts w:cstheme="majorHAnsi"/>
          <w:lang w:val="en-GB"/>
        </w:rPr>
        <w:drawing>
          <wp:inline distT="0" distB="0" distL="0" distR="0" wp14:anchorId="63985C14" wp14:editId="79C3172F">
            <wp:extent cx="2089150" cy="1028700"/>
            <wp:effectExtent l="0" t="0" r="6350" b="0"/>
            <wp:docPr id="170020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9150" cy="1028700"/>
                    </a:xfrm>
                    <a:prstGeom prst="rect">
                      <a:avLst/>
                    </a:prstGeom>
                    <a:noFill/>
                    <a:ln>
                      <a:noFill/>
                    </a:ln>
                  </pic:spPr>
                </pic:pic>
              </a:graphicData>
            </a:graphic>
          </wp:inline>
        </w:drawing>
      </w:r>
    </w:p>
    <w:p w14:paraId="245C034B" w14:textId="77777777" w:rsidR="006A0C65" w:rsidRDefault="006A0C65">
      <w:pPr>
        <w:pStyle w:val="Title"/>
        <w:rPr>
          <w:rFonts w:cstheme="majorHAnsi"/>
          <w:color w:val="auto"/>
        </w:rPr>
      </w:pPr>
    </w:p>
    <w:p w14:paraId="3715651C" w14:textId="35B60EA1" w:rsidR="001C157C" w:rsidRPr="00690A99" w:rsidRDefault="00DB5630">
      <w:pPr>
        <w:pStyle w:val="Title"/>
        <w:rPr>
          <w:rFonts w:cstheme="majorHAnsi"/>
          <w:color w:val="auto"/>
        </w:rPr>
      </w:pPr>
      <w:r w:rsidRPr="00690A99">
        <w:rPr>
          <w:rFonts w:cstheme="majorHAnsi"/>
          <w:color w:val="auto"/>
        </w:rPr>
        <w:t>Modern Slavery and Human Trafficking Statement</w:t>
      </w:r>
    </w:p>
    <w:p w14:paraId="4AD4AF26" w14:textId="7BC459CD" w:rsidR="001C157C" w:rsidRPr="00690A99" w:rsidRDefault="00DB5630">
      <w:pPr>
        <w:rPr>
          <w:rFonts w:asciiTheme="majorHAnsi" w:hAnsiTheme="majorHAnsi" w:cstheme="majorHAnsi"/>
        </w:rPr>
      </w:pPr>
      <w:r w:rsidRPr="00690A99">
        <w:rPr>
          <w:rFonts w:asciiTheme="majorHAnsi" w:hAnsiTheme="majorHAnsi" w:cstheme="majorHAnsi"/>
        </w:rPr>
        <w:t xml:space="preserve">Company: </w:t>
      </w:r>
      <w:r w:rsidR="00690A99">
        <w:rPr>
          <w:rFonts w:asciiTheme="majorHAnsi" w:hAnsiTheme="majorHAnsi" w:cstheme="majorHAnsi"/>
        </w:rPr>
        <w:t>Panthera Finance LLP</w:t>
      </w:r>
    </w:p>
    <w:p w14:paraId="5C5025B0" w14:textId="6241053C" w:rsidR="001C157C" w:rsidRPr="00690A99" w:rsidRDefault="00DB5630">
      <w:pPr>
        <w:rPr>
          <w:rFonts w:asciiTheme="majorHAnsi" w:hAnsiTheme="majorHAnsi" w:cstheme="majorHAnsi"/>
        </w:rPr>
      </w:pPr>
      <w:r w:rsidRPr="00690A99">
        <w:rPr>
          <w:rFonts w:asciiTheme="majorHAnsi" w:hAnsiTheme="majorHAnsi" w:cstheme="majorHAnsi"/>
        </w:rPr>
        <w:t xml:space="preserve">Financial Year Ending: </w:t>
      </w:r>
      <w:r w:rsidR="00690A99">
        <w:rPr>
          <w:rFonts w:asciiTheme="majorHAnsi" w:hAnsiTheme="majorHAnsi" w:cstheme="majorHAnsi"/>
        </w:rPr>
        <w:t>March 2025</w:t>
      </w:r>
      <w:r w:rsidRPr="00690A99">
        <w:rPr>
          <w:rFonts w:asciiTheme="majorHAnsi" w:hAnsiTheme="majorHAnsi" w:cstheme="majorHAnsi"/>
        </w:rPr>
        <w:br/>
      </w:r>
    </w:p>
    <w:p w14:paraId="09C2A576" w14:textId="77777777" w:rsidR="001C157C" w:rsidRPr="00690A99" w:rsidRDefault="00DB5630">
      <w:pPr>
        <w:pStyle w:val="Heading1"/>
        <w:rPr>
          <w:rFonts w:cstheme="majorHAnsi"/>
          <w:color w:val="auto"/>
        </w:rPr>
      </w:pPr>
      <w:r w:rsidRPr="00690A99">
        <w:rPr>
          <w:rFonts w:cstheme="majorHAnsi"/>
          <w:color w:val="auto"/>
        </w:rPr>
        <w:t>1. Statement and Commitment</w:t>
      </w:r>
    </w:p>
    <w:p w14:paraId="0B524F27" w14:textId="77777777" w:rsidR="001C157C" w:rsidRPr="00690A99" w:rsidRDefault="00DB5630">
      <w:pPr>
        <w:rPr>
          <w:rFonts w:asciiTheme="majorHAnsi" w:hAnsiTheme="majorHAnsi" w:cstheme="majorHAnsi"/>
        </w:rPr>
      </w:pPr>
      <w:r w:rsidRPr="00690A99">
        <w:rPr>
          <w:rFonts w:asciiTheme="majorHAnsi" w:hAnsiTheme="majorHAnsi" w:cstheme="majorHAnsi"/>
        </w:rPr>
        <w:t>This statement is made pursuant to section 54 of the Modern Slavery Act 2015 and outlines the steps taken to prevent modern slavery and human trafficking in our business and supply chains. As an FCA-authorised directly authorised firm, we are responsible for maintaining appropriate systems and controls to manage these risks.</w:t>
      </w:r>
    </w:p>
    <w:p w14:paraId="6FB32FE1" w14:textId="77777777" w:rsidR="001C157C" w:rsidRPr="00690A99" w:rsidRDefault="00DB5630">
      <w:pPr>
        <w:pStyle w:val="Heading1"/>
        <w:rPr>
          <w:rFonts w:cstheme="majorHAnsi"/>
          <w:color w:val="auto"/>
        </w:rPr>
      </w:pPr>
      <w:r w:rsidRPr="00690A99">
        <w:rPr>
          <w:rFonts w:cstheme="majorHAnsi"/>
          <w:color w:val="auto"/>
        </w:rPr>
        <w:t>2. Governance and Accountability (SMCR)</w:t>
      </w:r>
    </w:p>
    <w:p w14:paraId="4840CB17" w14:textId="77777777" w:rsidR="001C157C" w:rsidRPr="00690A99" w:rsidRDefault="00DB5630">
      <w:pPr>
        <w:rPr>
          <w:rFonts w:asciiTheme="majorHAnsi" w:hAnsiTheme="majorHAnsi" w:cstheme="majorHAnsi"/>
        </w:rPr>
      </w:pPr>
      <w:r w:rsidRPr="00690A99">
        <w:rPr>
          <w:rFonts w:asciiTheme="majorHAnsi" w:hAnsiTheme="majorHAnsi" w:cstheme="majorHAnsi"/>
        </w:rPr>
        <w:t>Responsibility for modern slavery risks sits with senior management, including the Board and SMF holders. Modern slavery is considered within our enterprise risk management and third-party risk frameworks.</w:t>
      </w:r>
    </w:p>
    <w:p w14:paraId="78BC1109" w14:textId="77777777" w:rsidR="001C157C" w:rsidRPr="00690A99" w:rsidRDefault="00DB5630">
      <w:pPr>
        <w:pStyle w:val="Heading1"/>
        <w:rPr>
          <w:rFonts w:cstheme="majorHAnsi"/>
          <w:color w:val="auto"/>
        </w:rPr>
      </w:pPr>
      <w:r w:rsidRPr="00690A99">
        <w:rPr>
          <w:rFonts w:cstheme="majorHAnsi"/>
          <w:color w:val="auto"/>
        </w:rPr>
        <w:t>3. Business Model</w:t>
      </w:r>
    </w:p>
    <w:p w14:paraId="61E684BF" w14:textId="77777777" w:rsidR="001C157C" w:rsidRPr="00690A99" w:rsidRDefault="00DB5630">
      <w:pPr>
        <w:rPr>
          <w:rFonts w:asciiTheme="majorHAnsi" w:hAnsiTheme="majorHAnsi" w:cstheme="majorHAnsi"/>
        </w:rPr>
      </w:pPr>
      <w:r w:rsidRPr="00690A99">
        <w:rPr>
          <w:rFonts w:asciiTheme="majorHAnsi" w:hAnsiTheme="majorHAnsi" w:cstheme="majorHAnsi"/>
        </w:rPr>
        <w:t>We are a UK-based mortgage and protection brokerage operating as a directly authorised firm. We maintain direct relationships with lenders, insurers and service providers and retain full responsibility for regulatory compliance.</w:t>
      </w:r>
    </w:p>
    <w:p w14:paraId="637F849A" w14:textId="77777777" w:rsidR="001C157C" w:rsidRPr="00690A99" w:rsidRDefault="00DB5630">
      <w:pPr>
        <w:pStyle w:val="Heading1"/>
        <w:rPr>
          <w:rFonts w:cstheme="majorHAnsi"/>
          <w:color w:val="auto"/>
        </w:rPr>
      </w:pPr>
      <w:r w:rsidRPr="00690A99">
        <w:rPr>
          <w:rFonts w:cstheme="majorHAnsi"/>
          <w:color w:val="auto"/>
        </w:rPr>
        <w:t>4. Supply Chain</w:t>
      </w:r>
    </w:p>
    <w:p w14:paraId="2E0EF365" w14:textId="77777777" w:rsidR="001C157C" w:rsidRPr="00690A99" w:rsidRDefault="00DB5630">
      <w:pPr>
        <w:rPr>
          <w:rFonts w:asciiTheme="majorHAnsi" w:hAnsiTheme="majorHAnsi" w:cstheme="majorHAnsi"/>
        </w:rPr>
      </w:pPr>
      <w:r w:rsidRPr="00690A99">
        <w:rPr>
          <w:rFonts w:asciiTheme="majorHAnsi" w:hAnsiTheme="majorHAnsi" w:cstheme="majorHAnsi"/>
        </w:rPr>
        <w:t>Our supply chain is primarily service-based, including IT providers, compliance consultants, professional services, and recruitment agencies. We assess risks within these relationships.</w:t>
      </w:r>
    </w:p>
    <w:p w14:paraId="0E9C2F4E" w14:textId="77777777" w:rsidR="001C157C" w:rsidRPr="00690A99" w:rsidRDefault="00DB5630">
      <w:pPr>
        <w:pStyle w:val="Heading1"/>
        <w:rPr>
          <w:rFonts w:cstheme="majorHAnsi"/>
          <w:color w:val="auto"/>
        </w:rPr>
      </w:pPr>
      <w:r w:rsidRPr="00690A99">
        <w:rPr>
          <w:rFonts w:cstheme="majorHAnsi"/>
          <w:color w:val="auto"/>
        </w:rPr>
        <w:lastRenderedPageBreak/>
        <w:t>5. Policies</w:t>
      </w:r>
    </w:p>
    <w:p w14:paraId="18CF6D00" w14:textId="77777777" w:rsidR="001C157C" w:rsidRPr="00690A99" w:rsidRDefault="00DB5630">
      <w:pPr>
        <w:rPr>
          <w:rFonts w:asciiTheme="majorHAnsi" w:hAnsiTheme="majorHAnsi" w:cstheme="majorHAnsi"/>
        </w:rPr>
      </w:pPr>
      <w:r w:rsidRPr="00690A99">
        <w:rPr>
          <w:rFonts w:asciiTheme="majorHAnsi" w:hAnsiTheme="majorHAnsi" w:cstheme="majorHAnsi"/>
        </w:rPr>
        <w:t>We maintain policies including Anti-Slavery, Whistleblowing, Code of Conduct, and Supplier Risk Management. These are reviewed annually.</w:t>
      </w:r>
    </w:p>
    <w:p w14:paraId="68954C2D" w14:textId="77777777" w:rsidR="001C157C" w:rsidRPr="00690A99" w:rsidRDefault="00DB5630">
      <w:pPr>
        <w:pStyle w:val="Heading1"/>
        <w:rPr>
          <w:rFonts w:cstheme="majorHAnsi"/>
          <w:color w:val="auto"/>
        </w:rPr>
      </w:pPr>
      <w:r w:rsidRPr="00690A99">
        <w:rPr>
          <w:rFonts w:cstheme="majorHAnsi"/>
          <w:color w:val="auto"/>
        </w:rPr>
        <w:t>6. Due Diligence</w:t>
      </w:r>
    </w:p>
    <w:p w14:paraId="42983682" w14:textId="77777777" w:rsidR="001C157C" w:rsidRPr="00690A99" w:rsidRDefault="00DB5630">
      <w:pPr>
        <w:rPr>
          <w:rFonts w:asciiTheme="majorHAnsi" w:hAnsiTheme="majorHAnsi" w:cstheme="majorHAnsi"/>
        </w:rPr>
      </w:pPr>
      <w:r w:rsidRPr="00690A99">
        <w:rPr>
          <w:rFonts w:asciiTheme="majorHAnsi" w:hAnsiTheme="majorHAnsi" w:cstheme="majorHAnsi"/>
        </w:rPr>
        <w:t>We apply a risk-based approach to supplier due diligence, including onboarding checks, contractual controls, and ongoing monitoring.</w:t>
      </w:r>
    </w:p>
    <w:p w14:paraId="64700319" w14:textId="77777777" w:rsidR="001C157C" w:rsidRPr="00690A99" w:rsidRDefault="00DB5630">
      <w:pPr>
        <w:pStyle w:val="Heading1"/>
        <w:rPr>
          <w:rFonts w:cstheme="majorHAnsi"/>
          <w:color w:val="auto"/>
        </w:rPr>
      </w:pPr>
      <w:r w:rsidRPr="00690A99">
        <w:rPr>
          <w:rFonts w:cstheme="majorHAnsi"/>
          <w:color w:val="auto"/>
        </w:rPr>
        <w:t>7. Risk Assessment</w:t>
      </w:r>
    </w:p>
    <w:p w14:paraId="3833C92C" w14:textId="77777777" w:rsidR="001C157C" w:rsidRPr="00690A99" w:rsidRDefault="00DB5630">
      <w:pPr>
        <w:rPr>
          <w:rFonts w:asciiTheme="majorHAnsi" w:hAnsiTheme="majorHAnsi" w:cstheme="majorHAnsi"/>
        </w:rPr>
      </w:pPr>
      <w:r w:rsidRPr="00690A99">
        <w:rPr>
          <w:rFonts w:asciiTheme="majorHAnsi" w:hAnsiTheme="majorHAnsi" w:cstheme="majorHAnsi"/>
        </w:rPr>
        <w:t>We consider risks to be low in direct operations but recognise exposures in outsourced and indirect supply chains.</w:t>
      </w:r>
    </w:p>
    <w:p w14:paraId="35B976D3" w14:textId="77777777" w:rsidR="001C157C" w:rsidRPr="00690A99" w:rsidRDefault="00DB5630">
      <w:pPr>
        <w:pStyle w:val="Heading1"/>
        <w:rPr>
          <w:rFonts w:cstheme="majorHAnsi"/>
          <w:color w:val="auto"/>
        </w:rPr>
      </w:pPr>
      <w:r w:rsidRPr="00690A99">
        <w:rPr>
          <w:rFonts w:cstheme="majorHAnsi"/>
          <w:color w:val="auto"/>
        </w:rPr>
        <w:t>8. Monitoring and KPIs</w:t>
      </w:r>
    </w:p>
    <w:p w14:paraId="27104E53" w14:textId="77777777" w:rsidR="001C157C" w:rsidRPr="00690A99" w:rsidRDefault="00DB5630">
      <w:pPr>
        <w:rPr>
          <w:rFonts w:asciiTheme="majorHAnsi" w:hAnsiTheme="majorHAnsi" w:cstheme="majorHAnsi"/>
        </w:rPr>
      </w:pPr>
      <w:r w:rsidRPr="00690A99">
        <w:rPr>
          <w:rFonts w:asciiTheme="majorHAnsi" w:hAnsiTheme="majorHAnsi" w:cstheme="majorHAnsi"/>
        </w:rPr>
        <w:t>We monitor effectiveness through supplier reviews, policy updates, and incident tracking. No modern slavery issues have been identified.</w:t>
      </w:r>
    </w:p>
    <w:p w14:paraId="37999F8B" w14:textId="77777777" w:rsidR="001C157C" w:rsidRPr="00690A99" w:rsidRDefault="00DB5630">
      <w:pPr>
        <w:pStyle w:val="Heading1"/>
        <w:rPr>
          <w:rFonts w:cstheme="majorHAnsi"/>
          <w:color w:val="auto"/>
        </w:rPr>
      </w:pPr>
      <w:r w:rsidRPr="00690A99">
        <w:rPr>
          <w:rFonts w:cstheme="majorHAnsi"/>
          <w:color w:val="auto"/>
        </w:rPr>
        <w:t>9. Training</w:t>
      </w:r>
    </w:p>
    <w:p w14:paraId="1B8A65B9" w14:textId="77777777" w:rsidR="001C157C" w:rsidRPr="00690A99" w:rsidRDefault="00DB5630">
      <w:pPr>
        <w:rPr>
          <w:rFonts w:asciiTheme="majorHAnsi" w:hAnsiTheme="majorHAnsi" w:cstheme="majorHAnsi"/>
        </w:rPr>
      </w:pPr>
      <w:r w:rsidRPr="00690A99">
        <w:rPr>
          <w:rFonts w:asciiTheme="majorHAnsi" w:hAnsiTheme="majorHAnsi" w:cstheme="majorHAnsi"/>
        </w:rPr>
        <w:t>Staff receive appropriate awareness training and guidance on identifying and reporting concerns.</w:t>
      </w:r>
    </w:p>
    <w:p w14:paraId="276D35F6" w14:textId="77777777" w:rsidR="001C157C" w:rsidRPr="00690A99" w:rsidRDefault="00DB5630">
      <w:pPr>
        <w:pStyle w:val="Heading1"/>
        <w:rPr>
          <w:rFonts w:cstheme="majorHAnsi"/>
          <w:color w:val="auto"/>
        </w:rPr>
      </w:pPr>
      <w:r w:rsidRPr="00690A99">
        <w:rPr>
          <w:rFonts w:cstheme="majorHAnsi"/>
          <w:color w:val="auto"/>
        </w:rPr>
        <w:t>10. Whistleblowing</w:t>
      </w:r>
    </w:p>
    <w:p w14:paraId="23BBEA59" w14:textId="77777777" w:rsidR="001C157C" w:rsidRPr="00690A99" w:rsidRDefault="00DB5630">
      <w:pPr>
        <w:rPr>
          <w:rFonts w:asciiTheme="majorHAnsi" w:hAnsiTheme="majorHAnsi" w:cstheme="majorHAnsi"/>
        </w:rPr>
      </w:pPr>
      <w:r w:rsidRPr="00690A99">
        <w:rPr>
          <w:rFonts w:asciiTheme="majorHAnsi" w:hAnsiTheme="majorHAnsi" w:cstheme="majorHAnsi"/>
        </w:rPr>
        <w:t>We maintain a confidential reporting mechanism and investigate any concerns appropriately.</w:t>
      </w:r>
    </w:p>
    <w:p w14:paraId="7B1A12D9" w14:textId="77777777" w:rsidR="001C157C" w:rsidRPr="00690A99" w:rsidRDefault="00DB5630">
      <w:pPr>
        <w:pStyle w:val="Heading1"/>
        <w:rPr>
          <w:rFonts w:cstheme="majorHAnsi"/>
          <w:color w:val="auto"/>
        </w:rPr>
      </w:pPr>
      <w:r w:rsidRPr="00690A99">
        <w:rPr>
          <w:rFonts w:cstheme="majorHAnsi"/>
          <w:color w:val="auto"/>
        </w:rPr>
        <w:t>11. Continuous Improvement</w:t>
      </w:r>
    </w:p>
    <w:p w14:paraId="325209B7" w14:textId="77777777" w:rsidR="001C157C" w:rsidRPr="00690A99" w:rsidRDefault="00DB5630">
      <w:pPr>
        <w:rPr>
          <w:rFonts w:asciiTheme="majorHAnsi" w:hAnsiTheme="majorHAnsi" w:cstheme="majorHAnsi"/>
        </w:rPr>
      </w:pPr>
      <w:r w:rsidRPr="00690A99">
        <w:rPr>
          <w:rFonts w:asciiTheme="majorHAnsi" w:hAnsiTheme="majorHAnsi" w:cstheme="majorHAnsi"/>
        </w:rPr>
        <w:t>We aim to enhance supplier documentation, risk scoring and alignment with evolving regulatory expectations.</w:t>
      </w:r>
    </w:p>
    <w:p w14:paraId="104B8720" w14:textId="77777777" w:rsidR="001C157C" w:rsidRPr="00690A99" w:rsidRDefault="00DB5630">
      <w:pPr>
        <w:pStyle w:val="Heading1"/>
        <w:rPr>
          <w:rFonts w:cstheme="majorHAnsi"/>
          <w:color w:val="auto"/>
        </w:rPr>
      </w:pPr>
      <w:r w:rsidRPr="00690A99">
        <w:rPr>
          <w:rFonts w:cstheme="majorHAnsi"/>
          <w:color w:val="auto"/>
        </w:rPr>
        <w:t>12. Approval</w:t>
      </w:r>
    </w:p>
    <w:p w14:paraId="3C8BA1B4" w14:textId="7372B7EB" w:rsidR="001C157C" w:rsidRPr="00690A99" w:rsidRDefault="00DB5630">
      <w:pPr>
        <w:rPr>
          <w:rFonts w:asciiTheme="majorHAnsi" w:hAnsiTheme="majorHAnsi" w:cstheme="majorHAnsi"/>
        </w:rPr>
      </w:pPr>
      <w:r w:rsidRPr="00690A99">
        <w:rPr>
          <w:rFonts w:asciiTheme="majorHAnsi" w:hAnsiTheme="majorHAnsi" w:cstheme="majorHAnsi"/>
        </w:rPr>
        <w:t>Approved by the Board of Directors.</w:t>
      </w:r>
      <w:r w:rsidRPr="00690A99">
        <w:rPr>
          <w:rFonts w:asciiTheme="majorHAnsi" w:hAnsiTheme="majorHAnsi" w:cstheme="majorHAnsi"/>
        </w:rPr>
        <w:br/>
      </w:r>
    </w:p>
    <w:sectPr w:rsidR="001C157C" w:rsidRPr="00690A99"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F4E25" w14:textId="77777777" w:rsidR="00DB5630" w:rsidRDefault="00DB5630" w:rsidP="006A0C65">
      <w:pPr>
        <w:spacing w:after="0" w:line="240" w:lineRule="auto"/>
      </w:pPr>
      <w:r>
        <w:separator/>
      </w:r>
    </w:p>
  </w:endnote>
  <w:endnote w:type="continuationSeparator" w:id="0">
    <w:p w14:paraId="42CF8E23" w14:textId="77777777" w:rsidR="00DB5630" w:rsidRDefault="00DB5630" w:rsidP="006A0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FDB5" w14:textId="4174C0F8" w:rsidR="006A0C65" w:rsidRPr="006A0C65" w:rsidRDefault="006A0C65" w:rsidP="006A0C65">
    <w:pPr>
      <w:pStyle w:val="Footer"/>
      <w:rPr>
        <w:color w:val="BFBFBF" w:themeColor="background1" w:themeShade="BF"/>
        <w:sz w:val="18"/>
        <w:szCs w:val="18"/>
      </w:rPr>
    </w:pPr>
    <w:r w:rsidRPr="006A0C65">
      <w:rPr>
        <w:color w:val="BFBFBF" w:themeColor="background1" w:themeShade="BF"/>
        <w:sz w:val="18"/>
        <w:szCs w:val="18"/>
      </w:rPr>
      <w:t>Panthera Finance LLP</w:t>
    </w:r>
    <w:r w:rsidRPr="006A0C65">
      <w:rPr>
        <w:color w:val="BFBFBF" w:themeColor="background1" w:themeShade="BF"/>
        <w:sz w:val="18"/>
        <w:szCs w:val="18"/>
      </w:rPr>
      <w:tab/>
    </w:r>
    <w:r w:rsidRPr="006A0C65">
      <w:rPr>
        <w:color w:val="BFBFBF" w:themeColor="background1" w:themeShade="BF"/>
        <w:sz w:val="18"/>
        <w:szCs w:val="18"/>
      </w:rPr>
      <w:tab/>
      <w:t>V2.06.2026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659C0" w14:textId="77777777" w:rsidR="00DB5630" w:rsidRDefault="00DB5630" w:rsidP="006A0C65">
      <w:pPr>
        <w:spacing w:after="0" w:line="240" w:lineRule="auto"/>
      </w:pPr>
      <w:r>
        <w:separator/>
      </w:r>
    </w:p>
  </w:footnote>
  <w:footnote w:type="continuationSeparator" w:id="0">
    <w:p w14:paraId="778DF453" w14:textId="77777777" w:rsidR="00DB5630" w:rsidRDefault="00DB5630" w:rsidP="006A0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00798246">
    <w:abstractNumId w:val="8"/>
  </w:num>
  <w:num w:numId="2" w16cid:durableId="895361513">
    <w:abstractNumId w:val="6"/>
  </w:num>
  <w:num w:numId="3" w16cid:durableId="871528079">
    <w:abstractNumId w:val="5"/>
  </w:num>
  <w:num w:numId="4" w16cid:durableId="1968008248">
    <w:abstractNumId w:val="4"/>
  </w:num>
  <w:num w:numId="5" w16cid:durableId="781072790">
    <w:abstractNumId w:val="7"/>
  </w:num>
  <w:num w:numId="6" w16cid:durableId="702441888">
    <w:abstractNumId w:val="3"/>
  </w:num>
  <w:num w:numId="7" w16cid:durableId="1803888452">
    <w:abstractNumId w:val="2"/>
  </w:num>
  <w:num w:numId="8" w16cid:durableId="1900096484">
    <w:abstractNumId w:val="1"/>
  </w:num>
  <w:num w:numId="9" w16cid:durableId="1350988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157C"/>
    <w:rsid w:val="0029639D"/>
    <w:rsid w:val="00326F90"/>
    <w:rsid w:val="00690A99"/>
    <w:rsid w:val="006A0C65"/>
    <w:rsid w:val="00AA1D8D"/>
    <w:rsid w:val="00B47730"/>
    <w:rsid w:val="00CB0664"/>
    <w:rsid w:val="00DB5630"/>
    <w:rsid w:val="00EB72C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F98529"/>
  <w14:defaultImageDpi w14:val="300"/>
  <w15:docId w15:val="{F3FEF99C-2169-45EF-9B1C-BBD2ACA5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Todd</dc:creator>
  <cp:keywords/>
  <dc:description>generated by python-docx</dc:description>
  <cp:lastModifiedBy>Lynda Todd</cp:lastModifiedBy>
  <cp:revision>3</cp:revision>
  <dcterms:created xsi:type="dcterms:W3CDTF">2026-06-04T10:40:00Z</dcterms:created>
  <dcterms:modified xsi:type="dcterms:W3CDTF">2026-06-04T10:41:00Z</dcterms:modified>
  <cp:category/>
</cp:coreProperties>
</file>